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4</w:t>
      </w:r>
    </w:p>
    <w:p>
      <w:pPr>
        <w:spacing w:after="312" w:line="560" w:lineRule="exact"/>
        <w:ind w:firstLine="2249" w:firstLineChars="700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浙江新闻奖参评作品报送材料一览表</w:t>
      </w:r>
    </w:p>
    <w:tbl>
      <w:tblPr>
        <w:tblStyle w:val="3"/>
        <w:tblpPr w:leftFromText="180" w:rightFromText="180" w:vertAnchor="text" w:horzAnchor="page" w:tblpX="1443" w:tblpY="276"/>
        <w:tblOverlap w:val="never"/>
        <w:tblW w:w="9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1559"/>
        <w:gridCol w:w="198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申报材料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实物材料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电子材料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4394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报送单位报送程序和公示等情况说明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不在系统填报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报送单位填写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4394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浙江新闻奖参评作品报送目录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不在系统填报，电子文本另发邮箱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报送单位填写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4394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报刊类参评作品刊登版面样报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2份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通过系统上传版面截图，并添加相关作品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数字报链接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广播电视参评作品原版播出的音视频U盘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按规定格式上传，并添加作品网址链接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报送单位可将多件作品合在一个U盘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报刊类参评作品推荐表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30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份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在系统填报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报刊类参评作品版面复印件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30份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在系统添加链接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报刊类参评作品文字稿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不报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在系统填报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广播电视类参评作品推荐表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2份</w:t>
            </w:r>
          </w:p>
        </w:tc>
        <w:tc>
          <w:tcPr>
            <w:tcW w:w="198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在系统填报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广播电视类参评作品文字稿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2份</w:t>
            </w:r>
          </w:p>
        </w:tc>
        <w:tc>
          <w:tcPr>
            <w:tcW w:w="19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新闻论文作品推荐表、作品及</w:t>
            </w: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  <w:t>书刊目录页、版权页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复印件等相关材料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15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套</w:t>
            </w:r>
          </w:p>
        </w:tc>
        <w:tc>
          <w:tcPr>
            <w:tcW w:w="19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系列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(连续、组合)报道完整作品目录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报纸30份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广电2份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通过系统上传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系列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(连续、组合)报道内容简介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在系统填报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1000字以内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社会活动参评项目推荐表及相关材料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15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套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在系统填报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新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媒体、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报纸副刊、版面、新闻摄影、新闻漫画参评推荐表及相关材料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详见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文件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在系统填报或上传相应作品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详询有关工委</w:t>
            </w:r>
          </w:p>
        </w:tc>
      </w:tr>
    </w:tbl>
    <w:p>
      <w:pPr>
        <w:spacing w:line="48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黑体" w:eastAsia="黑体"/>
          <w:sz w:val="28"/>
          <w:szCs w:val="28"/>
        </w:rPr>
        <w:t xml:space="preserve">  </w:t>
      </w:r>
      <w:r>
        <w:rPr>
          <w:rFonts w:hint="eastAsia" w:ascii="宋体" w:hAnsi="宋体"/>
          <w:sz w:val="24"/>
          <w:szCs w:val="24"/>
        </w:rPr>
        <w:t>注</w:t>
      </w:r>
      <w:r>
        <w:rPr>
          <w:rFonts w:ascii="宋体" w:hAnsi="宋体"/>
          <w:sz w:val="24"/>
          <w:szCs w:val="24"/>
        </w:rPr>
        <w:t>：本表</w:t>
      </w:r>
      <w:r>
        <w:rPr>
          <w:rFonts w:hint="eastAsia" w:ascii="宋体" w:hAnsi="宋体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系统</w:t>
      </w:r>
      <w:r>
        <w:rPr>
          <w:rFonts w:hint="eastAsia" w:ascii="宋体" w:hAnsi="宋体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为浙江记协网新</w:t>
      </w:r>
      <w:r>
        <w:rPr>
          <w:rFonts w:hint="eastAsia" w:ascii="宋体" w:hAnsi="宋体"/>
          <w:sz w:val="24"/>
          <w:szCs w:val="24"/>
        </w:rPr>
        <w:t>闻</w:t>
      </w:r>
      <w:r>
        <w:rPr>
          <w:rFonts w:ascii="宋体" w:hAnsi="宋体"/>
          <w:sz w:val="24"/>
          <w:szCs w:val="24"/>
        </w:rPr>
        <w:t>评奖系统。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F1867"/>
    <w:rsid w:val="0AAF1867"/>
    <w:rsid w:val="2B882627"/>
    <w:rsid w:val="51C84107"/>
    <w:rsid w:val="5EA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  <w:style w:type="character" w:styleId="5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2021-01-29T07:13:00Z</dcterms:created>
  <dc:creator>xiao</dc:creator>
  <cp:lastModifiedBy>xiao</cp:lastModifiedBy>
  <dcterms:modified xsi:type="dcterms:W3CDTF">2021-01-29T07:16:04Z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