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B0" w:rsidRDefault="00D84EB0" w:rsidP="00D84EB0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F5D67">
        <w:rPr>
          <w:rFonts w:ascii="华文中宋" w:eastAsia="华文中宋" w:hAnsi="华文中宋" w:hint="eastAsia"/>
          <w:b/>
          <w:sz w:val="32"/>
          <w:szCs w:val="32"/>
        </w:rPr>
        <w:t>浙江新闻奖（报</w:t>
      </w:r>
      <w:r>
        <w:rPr>
          <w:rFonts w:ascii="华文中宋" w:eastAsia="华文中宋" w:hAnsi="华文中宋" w:hint="eastAsia"/>
          <w:b/>
          <w:sz w:val="32"/>
          <w:szCs w:val="32"/>
        </w:rPr>
        <w:t>刊类</w:t>
      </w:r>
      <w:r w:rsidRPr="00AF5D67">
        <w:rPr>
          <w:rFonts w:ascii="华文中宋" w:eastAsia="华文中宋" w:hAnsi="华文中宋" w:hint="eastAsia"/>
          <w:b/>
          <w:sz w:val="32"/>
          <w:szCs w:val="32"/>
        </w:rPr>
        <w:t>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495"/>
        <w:gridCol w:w="382"/>
        <w:gridCol w:w="1668"/>
        <w:gridCol w:w="620"/>
        <w:gridCol w:w="351"/>
        <w:gridCol w:w="319"/>
        <w:gridCol w:w="937"/>
        <w:gridCol w:w="42"/>
        <w:gridCol w:w="785"/>
        <w:gridCol w:w="2442"/>
      </w:tblGrid>
      <w:tr w:rsidR="00D84EB0" w:rsidRPr="00376D00" w:rsidTr="00086964">
        <w:trPr>
          <w:cantSplit/>
          <w:trHeight w:val="652"/>
        </w:trPr>
        <w:tc>
          <w:tcPr>
            <w:tcW w:w="1526" w:type="dxa"/>
            <w:gridSpan w:val="2"/>
            <w:vAlign w:val="center"/>
          </w:tcPr>
          <w:p w:rsidR="00D84EB0" w:rsidRPr="00376D00" w:rsidRDefault="00D84EB0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EB0" w:rsidRPr="00D2094C" w:rsidRDefault="00D84EB0" w:rsidP="00086964">
            <w:pPr>
              <w:spacing w:line="380" w:lineRule="exact"/>
              <w:jc w:val="center"/>
              <w:rPr>
                <w:rFonts w:ascii="华文中宋" w:hAnsi="华文中宋"/>
                <w:sz w:val="28"/>
              </w:rPr>
            </w:pPr>
            <w:r>
              <w:rPr>
                <w:rFonts w:ascii="华文中宋" w:hAnsi="华文中宋" w:hint="eastAsia"/>
                <w:sz w:val="28"/>
              </w:rPr>
              <w:t>大师最后的心愿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EB0" w:rsidRPr="00B749DF" w:rsidRDefault="00D84EB0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749DF"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D3565E">
              <w:rPr>
                <w:rFonts w:ascii="宋体" w:hAnsi="宋体" w:hint="eastAsia"/>
                <w:sz w:val="24"/>
                <w:szCs w:val="24"/>
              </w:rPr>
              <w:t>通讯</w:t>
            </w:r>
          </w:p>
        </w:tc>
      </w:tr>
      <w:tr w:rsidR="00D84EB0" w:rsidRPr="00376D00" w:rsidTr="00086964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D84EB0" w:rsidRPr="00376D00" w:rsidRDefault="00D84EB0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D84EB0" w:rsidRPr="00376D00" w:rsidRDefault="00D84EB0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7B0EA2" w:rsidRDefault="00D84EB0" w:rsidP="00086964">
            <w:pPr>
              <w:spacing w:line="380" w:lineRule="exact"/>
              <w:jc w:val="center"/>
              <w:rPr>
                <w:rFonts w:ascii="华文中宋" w:hAnsi="华文中宋"/>
                <w:sz w:val="28"/>
              </w:rPr>
            </w:pPr>
            <w:r w:rsidRPr="007B0EA2">
              <w:rPr>
                <w:rFonts w:ascii="华文中宋" w:hAnsi="华文中宋" w:hint="eastAsia"/>
                <w:sz w:val="28"/>
              </w:rPr>
              <w:t>蓝倞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7B0EA2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B0EA2">
              <w:rPr>
                <w:rFonts w:ascii="宋体" w:hAnsi="宋体" w:hint="eastAsia"/>
                <w:sz w:val="24"/>
                <w:szCs w:val="24"/>
              </w:rPr>
              <w:t>吴祥柱、吴前</w:t>
            </w:r>
          </w:p>
        </w:tc>
      </w:tr>
      <w:tr w:rsidR="00D84EB0" w:rsidRPr="00376D00" w:rsidTr="00086964">
        <w:trPr>
          <w:cantSplit/>
          <w:trHeight w:hRule="exact" w:val="567"/>
        </w:trPr>
        <w:tc>
          <w:tcPr>
            <w:tcW w:w="1526" w:type="dxa"/>
            <w:gridSpan w:val="2"/>
            <w:vAlign w:val="center"/>
          </w:tcPr>
          <w:p w:rsidR="00D84EB0" w:rsidRPr="007B0EA2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B0EA2">
              <w:rPr>
                <w:rFonts w:ascii="宋体" w:hAnsi="宋体" w:hint="eastAsia"/>
                <w:sz w:val="24"/>
                <w:szCs w:val="24"/>
              </w:rPr>
              <w:t>刊发单位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7B0EA2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B0EA2">
              <w:rPr>
                <w:rFonts w:ascii="宋体" w:hAnsi="宋体" w:hint="eastAsia"/>
                <w:sz w:val="24"/>
                <w:szCs w:val="24"/>
              </w:rPr>
              <w:t>处州晚报</w:t>
            </w:r>
          </w:p>
          <w:p w:rsidR="00D84EB0" w:rsidRPr="007B0EA2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7B0EA2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B0EA2">
              <w:rPr>
                <w:rFonts w:ascii="宋体" w:hAnsi="宋体" w:hint="eastAsia"/>
                <w:sz w:val="24"/>
                <w:szCs w:val="24"/>
              </w:rPr>
              <w:t>2018年5月31日</w:t>
            </w:r>
          </w:p>
        </w:tc>
      </w:tr>
      <w:tr w:rsidR="00D84EB0" w:rsidRPr="00376D00" w:rsidTr="00086964">
        <w:trPr>
          <w:cantSplit/>
          <w:trHeight w:val="652"/>
        </w:trPr>
        <w:tc>
          <w:tcPr>
            <w:tcW w:w="1526" w:type="dxa"/>
            <w:gridSpan w:val="2"/>
            <w:vAlign w:val="center"/>
          </w:tcPr>
          <w:p w:rsidR="00D84EB0" w:rsidRPr="00376D00" w:rsidRDefault="00D84EB0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AF5D67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AF5D67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Default="00D84EB0" w:rsidP="00086964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553C">
              <w:rPr>
                <w:rFonts w:ascii="宋体" w:hAnsi="宋体" w:hint="eastAsia"/>
                <w:sz w:val="24"/>
                <w:szCs w:val="24"/>
              </w:rPr>
              <w:t>大花园·城事</w:t>
            </w:r>
          </w:p>
          <w:p w:rsidR="00D84EB0" w:rsidRPr="00376D00" w:rsidRDefault="00D84EB0" w:rsidP="00086964">
            <w:pPr>
              <w:spacing w:line="38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0553C">
              <w:rPr>
                <w:rFonts w:ascii="宋体" w:hAnsi="宋体" w:hint="eastAsia"/>
                <w:sz w:val="24"/>
                <w:szCs w:val="24"/>
              </w:rPr>
              <w:t>版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spacing w:line="38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DE7867">
              <w:rPr>
                <w:rFonts w:ascii="宋体" w:hAnsi="宋体" w:hint="eastAsia"/>
                <w:sz w:val="24"/>
                <w:szCs w:val="24"/>
              </w:rPr>
              <w:t>1496</w:t>
            </w:r>
          </w:p>
        </w:tc>
      </w:tr>
      <w:tr w:rsidR="00D84EB0" w:rsidRPr="00376D00" w:rsidTr="00086964">
        <w:trPr>
          <w:cantSplit/>
          <w:trHeight w:val="465"/>
        </w:trPr>
        <w:tc>
          <w:tcPr>
            <w:tcW w:w="1526" w:type="dxa"/>
            <w:gridSpan w:val="2"/>
          </w:tcPr>
          <w:p w:rsidR="00D84EB0" w:rsidRPr="00376D00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︵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D84EB0" w:rsidRPr="00376D00" w:rsidRDefault="00D84EB0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︶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F07193" w:rsidRDefault="00D84EB0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本作品讲诉了政府文化部门特事特办，最终完成青瓷大师</w:t>
            </w:r>
            <w:r w:rsidRPr="00BD4B71">
              <w:rPr>
                <w:rFonts w:ascii="宋体" w:hAnsi="宋体" w:hint="eastAsia"/>
                <w:szCs w:val="21"/>
              </w:rPr>
              <w:t>张绍斌</w:t>
            </w:r>
            <w:r>
              <w:rPr>
                <w:rFonts w:ascii="宋体" w:hAnsi="宋体" w:hint="eastAsia"/>
                <w:szCs w:val="21"/>
              </w:rPr>
              <w:t>临终前心愿的感人故事。5月中旬,张绍斌已经进入弥留之际，能否在生前亲眼见一见这本证明张绍斌一生艺术成就的</w:t>
            </w:r>
            <w:r w:rsidRPr="004B4183">
              <w:rPr>
                <w:rFonts w:ascii="宋体" w:hAnsi="宋体" w:hint="eastAsia"/>
                <w:szCs w:val="21"/>
              </w:rPr>
              <w:t>国家级非物质文化遗产代表性项目代表性传承人</w:t>
            </w:r>
            <w:r>
              <w:rPr>
                <w:rFonts w:ascii="宋体" w:hAnsi="宋体" w:hint="eastAsia"/>
                <w:szCs w:val="21"/>
              </w:rPr>
              <w:t>证书，成了大师最后的心愿。仅一周时间，张邵斌的心愿从龙泉传到丽水再到省文化厅，最后到</w:t>
            </w:r>
            <w:r w:rsidRPr="0025685F">
              <w:rPr>
                <w:rFonts w:ascii="宋体" w:hAnsi="宋体" w:hint="eastAsia"/>
                <w:szCs w:val="21"/>
              </w:rPr>
              <w:t>国家文化和旅游部非物质文化遗产司</w:t>
            </w:r>
            <w:r>
              <w:rPr>
                <w:rFonts w:ascii="宋体" w:hAnsi="宋体" w:hint="eastAsia"/>
                <w:szCs w:val="21"/>
              </w:rPr>
              <w:t>，引起了相关部门领导的高度重视，破例加急制作了证书，交给了大师的家人。实现心愿后4天，张绍斌便溘然长逝，逝世前，这位优秀的青瓷艺术家，还捐赠了自己的得意作品。本报记者一直跟踪着这条线索，采访了张绍斌的儿子、女儿，以及为完成张邵斌心愿奔走的龙泉青瓷艺术家、丽水有关部门领导、省文化厅有关领导，还原了这一感人故事。一代大师虽然陨落，但是，在党和国家的关怀下，在文化的滋养下，大师的匠心精神依然在龙泉传承不息。</w:t>
            </w:r>
          </w:p>
        </w:tc>
      </w:tr>
      <w:tr w:rsidR="00D84EB0" w:rsidRPr="00376D00" w:rsidTr="00086964">
        <w:trPr>
          <w:cantSplit/>
          <w:trHeight w:val="1303"/>
        </w:trPr>
        <w:tc>
          <w:tcPr>
            <w:tcW w:w="1526" w:type="dxa"/>
            <w:gridSpan w:val="2"/>
          </w:tcPr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社会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效果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B749C2" w:rsidRDefault="00D84EB0" w:rsidP="00086964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道经融合传播后，引起广泛社会反响：一、新媒体平台刊发后，感动许多读者，大家纷纷转发留言，微信、微博阅读量破万；二、在龙泉当地青瓷艺人中形成了广泛影响力，众人在缅怀大师之外，纷纷表示还感受到国家对艺术的重视和人情味的关怀。感动于张绍斌的艺术成就之外，也感受到党和国家的温暖与支持。</w:t>
            </w:r>
          </w:p>
        </w:tc>
      </w:tr>
      <w:tr w:rsidR="00D84EB0" w:rsidRPr="00376D00" w:rsidTr="00086964">
        <w:trPr>
          <w:cantSplit/>
          <w:trHeight w:val="2016"/>
        </w:trPr>
        <w:tc>
          <w:tcPr>
            <w:tcW w:w="1526" w:type="dxa"/>
            <w:gridSpan w:val="2"/>
          </w:tcPr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 xml:space="preserve"> ︵</w:t>
            </w:r>
          </w:p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D84EB0" w:rsidRPr="00AE243C" w:rsidRDefault="00D84EB0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D84EB0" w:rsidRPr="00376D00" w:rsidRDefault="00D84EB0" w:rsidP="00086964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E243C">
              <w:rPr>
                <w:rFonts w:ascii="黑体" w:eastAsia="黑体" w:hAnsi="华文中宋" w:hint="eastAsia"/>
                <w:sz w:val="28"/>
              </w:rPr>
              <w:t xml:space="preserve">  ︶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Default="00D84EB0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这是一件以小见大的精品之作。在题材上，青瓷文化是丽水的特色文化，青瓷艺术家是丽水的文化隗宝，作品展现青瓷艺术家的艺术魅力外，更突出了有关部门对青瓷艺术家的“特事特办”，这是丽水经济发展、文化繁荣的一个例证。</w:t>
            </w:r>
          </w:p>
          <w:p w:rsidR="00D84EB0" w:rsidRPr="00116A7E" w:rsidRDefault="00D84EB0" w:rsidP="00086964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这也是</w:t>
            </w:r>
            <w:r w:rsidRPr="00116A7E">
              <w:rPr>
                <w:rFonts w:ascii="宋体" w:hAnsi="宋体" w:hint="eastAsia"/>
                <w:szCs w:val="21"/>
              </w:rPr>
              <w:t>侧面反映了</w:t>
            </w:r>
            <w:r>
              <w:rPr>
                <w:rFonts w:ascii="宋体" w:hAnsi="宋体" w:hint="eastAsia"/>
                <w:szCs w:val="21"/>
              </w:rPr>
              <w:t>我省“</w:t>
            </w:r>
            <w:r w:rsidRPr="00116A7E">
              <w:rPr>
                <w:rFonts w:ascii="宋体" w:hAnsi="宋体" w:hint="eastAsia"/>
                <w:szCs w:val="21"/>
              </w:rPr>
              <w:t>最多跑一次</w:t>
            </w:r>
            <w:r>
              <w:rPr>
                <w:rFonts w:ascii="宋体" w:hAnsi="宋体" w:hint="eastAsia"/>
                <w:szCs w:val="21"/>
              </w:rPr>
              <w:t>”改革的事例。原本需要等待数月才能到手的证书，最终一周时间就从北京送到了龙泉，“最多跑一次”改革形成的高效率办事习惯，营造的服务氛围是其中省市甚至省部合作顺畅的关键。</w:t>
            </w:r>
          </w:p>
        </w:tc>
      </w:tr>
      <w:tr w:rsidR="00D84EB0" w:rsidRPr="00376D00" w:rsidTr="00086964">
        <w:trPr>
          <w:cantSplit/>
          <w:trHeight w:hRule="exact" w:val="655"/>
        </w:trPr>
        <w:tc>
          <w:tcPr>
            <w:tcW w:w="4547" w:type="dxa"/>
            <w:gridSpan w:val="6"/>
            <w:tcBorders>
              <w:right w:val="single" w:sz="4" w:space="0" w:color="auto"/>
            </w:tcBorders>
            <w:vAlign w:val="center"/>
          </w:tcPr>
          <w:p w:rsidR="00D84EB0" w:rsidRPr="00376D00" w:rsidRDefault="00D84EB0" w:rsidP="00086964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  <w:tcBorders>
              <w:right w:val="single" w:sz="4" w:space="0" w:color="auto"/>
            </w:tcBorders>
          </w:tcPr>
          <w:p w:rsidR="00D84EB0" w:rsidRPr="00376D00" w:rsidRDefault="00D84EB0" w:rsidP="00086964">
            <w:pPr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D84EB0" w:rsidRPr="00376D00" w:rsidTr="00086964">
        <w:trPr>
          <w:cantSplit/>
          <w:trHeight w:hRule="exact" w:val="1232"/>
        </w:trPr>
        <w:tc>
          <w:tcPr>
            <w:tcW w:w="4547" w:type="dxa"/>
            <w:gridSpan w:val="6"/>
            <w:tcBorders>
              <w:right w:val="single" w:sz="4" w:space="0" w:color="auto"/>
            </w:tcBorders>
          </w:tcPr>
          <w:p w:rsidR="00D84EB0" w:rsidRPr="00376D00" w:rsidRDefault="00D84EB0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D84EB0" w:rsidRPr="00376D00" w:rsidRDefault="00D84EB0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D84EB0" w:rsidRPr="00376D00" w:rsidRDefault="00D84EB0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25" w:type="dxa"/>
            <w:gridSpan w:val="5"/>
            <w:tcBorders>
              <w:right w:val="single" w:sz="4" w:space="0" w:color="auto"/>
            </w:tcBorders>
          </w:tcPr>
          <w:p w:rsidR="00D84EB0" w:rsidRPr="00376D00" w:rsidRDefault="00D84EB0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D84EB0" w:rsidRPr="00376D00" w:rsidRDefault="00D84EB0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D84EB0" w:rsidRPr="00376D00" w:rsidRDefault="00D84EB0" w:rsidP="00086964">
            <w:pPr>
              <w:spacing w:line="320" w:lineRule="exact"/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D84EB0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  <w:tr w:rsidR="00D84EB0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0" w:rsidRPr="00376D00" w:rsidRDefault="00D84EB0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</w:tbl>
    <w:p w:rsidR="007B0E86" w:rsidRPr="00D84EB0" w:rsidRDefault="007B0E86" w:rsidP="00D84EB0"/>
    <w:sectPr w:rsidR="007B0E86" w:rsidRPr="00D84EB0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1969FA"/>
    <w:rsid w:val="00271105"/>
    <w:rsid w:val="002B0F72"/>
    <w:rsid w:val="007B0E86"/>
    <w:rsid w:val="00900D19"/>
    <w:rsid w:val="00A032E7"/>
    <w:rsid w:val="00A377CC"/>
    <w:rsid w:val="00B857EC"/>
    <w:rsid w:val="00D84EB0"/>
    <w:rsid w:val="00D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00D19"/>
    <w:rPr>
      <w:rFonts w:cs="Times New Roman"/>
      <w:i/>
      <w:iCs/>
    </w:rPr>
  </w:style>
  <w:style w:type="character" w:styleId="a4">
    <w:name w:val="Hyperlink"/>
    <w:basedOn w:val="a0"/>
    <w:uiPriority w:val="99"/>
    <w:rsid w:val="00A032E7"/>
    <w:rPr>
      <w:rFonts w:cs="Times New Roman"/>
      <w:color w:val="0000FF"/>
      <w:u w:val="single"/>
    </w:rPr>
  </w:style>
  <w:style w:type="paragraph" w:styleId="a5">
    <w:name w:val="Normal (Web)"/>
    <w:basedOn w:val="a"/>
    <w:qFormat/>
    <w:rsid w:val="00DE043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2019-03-08T10:29:00Z</dcterms:created>
  <dcterms:modified xsi:type="dcterms:W3CDTF">2019-03-08T10:29:00Z</dcterms:modified>
</cp:coreProperties>
</file>